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DD6B" w14:textId="3C2E4480" w:rsidR="00B4510E" w:rsidRDefault="00B4510E" w:rsidP="00B4510E">
      <w:pPr>
        <w:pStyle w:val="Odstavecseseznamem"/>
        <w:spacing w:after="0"/>
        <w:ind w:left="0"/>
        <w:jc w:val="center"/>
        <w:rPr>
          <w:rFonts w:ascii="Times New Roman" w:eastAsiaTheme="majorEastAsia" w:hAnsi="Times New Roman" w:cstheme="majorBidi"/>
          <w:color w:val="595959" w:themeColor="text1" w:themeTint="A6"/>
          <w:spacing w:val="15"/>
          <w:sz w:val="28"/>
          <w:szCs w:val="28"/>
          <w:lang w:eastAsia="cs-CZ"/>
        </w:rPr>
      </w:pPr>
      <w:r>
        <w:rPr>
          <w:noProof/>
        </w:rPr>
        <w:drawing>
          <wp:anchor distT="0" distB="0" distL="114300" distR="114300" simplePos="0" relativeHeight="251654656" behindDoc="1" locked="0" layoutInCell="1" allowOverlap="1" wp14:anchorId="4D59B3A1" wp14:editId="5A8E319F">
            <wp:simplePos x="0" y="0"/>
            <wp:positionH relativeFrom="column">
              <wp:posOffset>203835</wp:posOffset>
            </wp:positionH>
            <wp:positionV relativeFrom="paragraph">
              <wp:posOffset>-48260</wp:posOffset>
            </wp:positionV>
            <wp:extent cx="664210" cy="731520"/>
            <wp:effectExtent l="0" t="0" r="0" b="0"/>
            <wp:wrapNone/>
            <wp:docPr id="119750303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731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ajorEastAsia" w:hAnsi="Times New Roman" w:cstheme="majorBidi"/>
          <w:color w:val="595959" w:themeColor="text1" w:themeTint="A6"/>
          <w:spacing w:val="15"/>
          <w:sz w:val="28"/>
          <w:szCs w:val="28"/>
          <w:lang w:eastAsia="cs-CZ"/>
        </w:rPr>
        <w:t>OBECNÍ ÚŘAD LIBĚJOVICE</w:t>
      </w:r>
    </w:p>
    <w:p w14:paraId="61351B00" w14:textId="1A474697" w:rsidR="00B4510E" w:rsidRDefault="00B4510E" w:rsidP="00B4510E">
      <w:pPr>
        <w:suppressAutoHyphens/>
        <w:jc w:val="center"/>
        <w:rPr>
          <w:rFonts w:eastAsiaTheme="majorEastAsia" w:cstheme="majorBidi"/>
          <w:color w:val="595959" w:themeColor="text1" w:themeTint="A6"/>
          <w:spacing w:val="15"/>
        </w:rPr>
      </w:pPr>
      <w:r>
        <w:rPr>
          <w:rFonts w:eastAsiaTheme="majorEastAsia" w:cstheme="majorBidi"/>
          <w:noProof/>
          <w:color w:val="595959" w:themeColor="text1" w:themeTint="A6"/>
          <w:spacing w:val="15"/>
        </w:rPr>
        <w:drawing>
          <wp:anchor distT="0" distB="0" distL="114300" distR="114300" simplePos="0" relativeHeight="251664896" behindDoc="1" locked="0" layoutInCell="1" allowOverlap="1" wp14:anchorId="1565BA82" wp14:editId="64C36CE9">
            <wp:simplePos x="0" y="0"/>
            <wp:positionH relativeFrom="column">
              <wp:posOffset>4729479</wp:posOffset>
            </wp:positionH>
            <wp:positionV relativeFrom="paragraph">
              <wp:posOffset>197485</wp:posOffset>
            </wp:positionV>
            <wp:extent cx="676275" cy="676275"/>
            <wp:effectExtent l="0" t="0" r="0" b="0"/>
            <wp:wrapNone/>
            <wp:docPr id="10832049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ajorEastAsia" w:cstheme="majorBidi"/>
          <w:color w:val="595959" w:themeColor="text1" w:themeTint="A6"/>
          <w:spacing w:val="15"/>
        </w:rPr>
        <w:t>Libějovice 26, Libějovice 387 72, IČ: 00667641</w:t>
      </w:r>
    </w:p>
    <w:p w14:paraId="413D3913" w14:textId="77777777" w:rsidR="00B4510E" w:rsidRDefault="00B4510E" w:rsidP="00B4510E">
      <w:pPr>
        <w:suppressAutoHyphens/>
        <w:jc w:val="center"/>
        <w:rPr>
          <w:rFonts w:eastAsiaTheme="majorEastAsia" w:cstheme="majorBidi"/>
          <w:color w:val="595959" w:themeColor="text1" w:themeTint="A6"/>
          <w:spacing w:val="15"/>
        </w:rPr>
      </w:pPr>
    </w:p>
    <w:p w14:paraId="2958DA92" w14:textId="6FC601FD" w:rsidR="00094BD0" w:rsidRDefault="00B4510E" w:rsidP="00094BD0">
      <w:pPr>
        <w:spacing w:after="0"/>
        <w:jc w:val="center"/>
        <w:rPr>
          <w:b/>
          <w:sz w:val="28"/>
          <w:szCs w:val="28"/>
        </w:rPr>
      </w:pPr>
      <w:r>
        <w:rPr>
          <w:b/>
          <w:sz w:val="28"/>
          <w:szCs w:val="28"/>
        </w:rPr>
        <w:t>ŽÁDOST O VRÁCENÍ PŘEPLATKU</w:t>
      </w:r>
      <w:r w:rsidR="00B21032">
        <w:rPr>
          <w:b/>
          <w:sz w:val="28"/>
          <w:szCs w:val="28"/>
        </w:rPr>
        <w:t>*</w:t>
      </w:r>
    </w:p>
    <w:p w14:paraId="50C5EA68" w14:textId="59E45F4E" w:rsidR="000C1958" w:rsidRPr="00B4510E" w:rsidRDefault="00CB4473" w:rsidP="00B4510E">
      <w:pPr>
        <w:pStyle w:val="Odstavecseseznamem"/>
        <w:numPr>
          <w:ilvl w:val="0"/>
          <w:numId w:val="11"/>
        </w:numPr>
        <w:spacing w:after="0"/>
        <w:ind w:left="851" w:hanging="425"/>
        <w:rPr>
          <w:b/>
          <w:bCs/>
          <w:sz w:val="28"/>
          <w:szCs w:val="28"/>
        </w:rPr>
      </w:pPr>
      <w:r w:rsidRPr="00B4510E">
        <w:rPr>
          <w:b/>
          <w:bCs/>
        </w:rPr>
        <w:t>k</w:t>
      </w:r>
      <w:r w:rsidR="000C1958" w:rsidRPr="00B4510E">
        <w:rPr>
          <w:b/>
          <w:bCs/>
        </w:rPr>
        <w:t xml:space="preserve"> místnímu poplatku </w:t>
      </w:r>
      <w:r w:rsidR="00B4510E" w:rsidRPr="00B4510E">
        <w:rPr>
          <w:b/>
          <w:bCs/>
        </w:rPr>
        <w:t>za obecní systém odpadového hospodářství</w:t>
      </w:r>
      <w:r w:rsidR="003848CD" w:rsidRPr="00B4510E">
        <w:rPr>
          <w:b/>
          <w:bCs/>
        </w:rPr>
        <w:t xml:space="preserve"> </w:t>
      </w:r>
    </w:p>
    <w:p w14:paraId="53BE752E" w14:textId="462051AD" w:rsidR="00B21032" w:rsidRPr="00B4510E" w:rsidRDefault="00B21032" w:rsidP="00B21032">
      <w:pPr>
        <w:pStyle w:val="Odstavecseseznamem"/>
        <w:numPr>
          <w:ilvl w:val="0"/>
          <w:numId w:val="11"/>
        </w:numPr>
        <w:spacing w:after="0"/>
        <w:ind w:left="851" w:hanging="425"/>
        <w:rPr>
          <w:b/>
          <w:bCs/>
          <w:sz w:val="28"/>
          <w:szCs w:val="28"/>
        </w:rPr>
      </w:pPr>
      <w:r w:rsidRPr="00B4510E">
        <w:rPr>
          <w:b/>
          <w:bCs/>
        </w:rPr>
        <w:t>k místnímu poplatku ze psů</w:t>
      </w:r>
    </w:p>
    <w:p w14:paraId="4CA23C54" w14:textId="574E1811" w:rsidR="00B21032" w:rsidRPr="00B21032" w:rsidRDefault="00B21032" w:rsidP="00B21032">
      <w:pPr>
        <w:pStyle w:val="Odstavecseseznamem"/>
        <w:spacing w:after="0"/>
        <w:rPr>
          <w:sz w:val="16"/>
          <w:szCs w:val="16"/>
        </w:rPr>
      </w:pPr>
      <w:r>
        <w:rPr>
          <w:sz w:val="16"/>
          <w:szCs w:val="16"/>
        </w:rPr>
        <w:t xml:space="preserve">   </w:t>
      </w:r>
      <w:r w:rsidRPr="00B21032">
        <w:rPr>
          <w:sz w:val="16"/>
          <w:szCs w:val="16"/>
        </w:rPr>
        <w:t>* nehodící se škrtněte</w:t>
      </w:r>
    </w:p>
    <w:p w14:paraId="06F13B76" w14:textId="7CBB0818" w:rsidR="00CB4473" w:rsidRPr="004C4E88" w:rsidRDefault="00B21032" w:rsidP="00CA7652">
      <w:pPr>
        <w:pBdr>
          <w:top w:val="single" w:sz="4" w:space="1" w:color="auto"/>
          <w:left w:val="single" w:sz="4" w:space="4" w:color="auto"/>
          <w:bottom w:val="single" w:sz="4" w:space="0" w:color="auto"/>
          <w:right w:val="single" w:sz="4" w:space="29" w:color="auto"/>
        </w:pBdr>
      </w:pPr>
      <w:r>
        <w:rPr>
          <w:b/>
        </w:rPr>
        <w:t>Žadatel:</w:t>
      </w:r>
    </w:p>
    <w:p w14:paraId="6F82C248" w14:textId="77777777" w:rsidR="00535490" w:rsidRDefault="00535490" w:rsidP="00535490">
      <w:pPr>
        <w:pBdr>
          <w:top w:val="single" w:sz="4" w:space="1" w:color="auto"/>
          <w:left w:val="single" w:sz="4" w:space="4" w:color="auto"/>
          <w:bottom w:val="single" w:sz="4" w:space="0" w:color="auto"/>
          <w:right w:val="single" w:sz="4" w:space="29" w:color="auto"/>
        </w:pBdr>
        <w:rPr>
          <w:b/>
        </w:rPr>
      </w:pPr>
      <w:r>
        <w:rPr>
          <w:b/>
        </w:rPr>
        <w:t>Poplatník</w:t>
      </w:r>
      <w:r w:rsidRPr="00F14F9A">
        <w:t>:</w:t>
      </w:r>
    </w:p>
    <w:p w14:paraId="066428A4" w14:textId="77777777" w:rsidR="00535490" w:rsidRDefault="00535490" w:rsidP="00535490">
      <w:pPr>
        <w:pBdr>
          <w:top w:val="single" w:sz="4" w:space="1" w:color="auto"/>
          <w:left w:val="single" w:sz="4" w:space="4" w:color="auto"/>
          <w:bottom w:val="single" w:sz="4" w:space="0" w:color="auto"/>
          <w:right w:val="single" w:sz="4" w:space="29" w:color="auto"/>
        </w:pBdr>
        <w:tabs>
          <w:tab w:val="left" w:pos="4536"/>
        </w:tabs>
      </w:pPr>
      <w:r w:rsidRPr="009D055A">
        <w:rPr>
          <w:b/>
        </w:rPr>
        <w:t>Jméno:</w:t>
      </w:r>
      <w:r>
        <w:t xml:space="preserve"> ______________________________</w:t>
      </w:r>
      <w:r>
        <w:tab/>
      </w:r>
      <w:r w:rsidRPr="009D055A">
        <w:rPr>
          <w:b/>
        </w:rPr>
        <w:t>Příjmení</w:t>
      </w:r>
      <w:r>
        <w:t>: _________________________________</w:t>
      </w:r>
    </w:p>
    <w:p w14:paraId="4B77BF05" w14:textId="77777777" w:rsidR="00535490" w:rsidRPr="00B07A1B" w:rsidRDefault="00535490" w:rsidP="00535490">
      <w:pPr>
        <w:pBdr>
          <w:top w:val="single" w:sz="4" w:space="1" w:color="auto"/>
          <w:left w:val="single" w:sz="4" w:space="4" w:color="auto"/>
          <w:bottom w:val="single" w:sz="4" w:space="0" w:color="auto"/>
          <w:right w:val="single" w:sz="4" w:space="29" w:color="auto"/>
        </w:pBdr>
        <w:tabs>
          <w:tab w:val="left" w:pos="4536"/>
        </w:tabs>
      </w:pPr>
      <w:r>
        <w:rPr>
          <w:b/>
        </w:rPr>
        <w:t>Název</w:t>
      </w:r>
      <w:r w:rsidRPr="00B07A1B">
        <w:t>: ______________________________</w:t>
      </w:r>
      <w:r w:rsidR="00BE7DF6">
        <w:t>________________</w:t>
      </w:r>
      <w:r>
        <w:rPr>
          <w:b/>
        </w:rPr>
        <w:tab/>
        <w:t xml:space="preserve">RČ (IČ): </w:t>
      </w:r>
      <w:r w:rsidRPr="00B07A1B">
        <w:t>__</w:t>
      </w:r>
      <w:r w:rsidR="00BE7DF6">
        <w:t>________________</w:t>
      </w:r>
    </w:p>
    <w:p w14:paraId="4BE7F96F" w14:textId="77777777" w:rsidR="00535490" w:rsidRDefault="00535490" w:rsidP="00535490">
      <w:pPr>
        <w:pBdr>
          <w:top w:val="single" w:sz="4" w:space="1" w:color="auto"/>
          <w:left w:val="single" w:sz="4" w:space="4" w:color="auto"/>
          <w:bottom w:val="single" w:sz="4" w:space="0" w:color="auto"/>
          <w:right w:val="single" w:sz="4" w:space="29" w:color="auto"/>
        </w:pBdr>
        <w:tabs>
          <w:tab w:val="left" w:pos="4536"/>
        </w:tabs>
      </w:pPr>
      <w:r>
        <w:rPr>
          <w:b/>
        </w:rPr>
        <w:t>Místo pobytu nebo sídla:</w:t>
      </w:r>
      <w:r>
        <w:t xml:space="preserve"> </w:t>
      </w:r>
    </w:p>
    <w:p w14:paraId="1D58F044" w14:textId="77777777" w:rsidR="00535490" w:rsidRDefault="00535490" w:rsidP="00535490">
      <w:pPr>
        <w:pBdr>
          <w:top w:val="single" w:sz="4" w:space="1" w:color="auto"/>
          <w:left w:val="single" w:sz="4" w:space="4" w:color="auto"/>
          <w:bottom w:val="single" w:sz="4" w:space="0" w:color="auto"/>
          <w:right w:val="single" w:sz="4" w:space="29" w:color="auto"/>
        </w:pBdr>
        <w:tabs>
          <w:tab w:val="left" w:pos="4536"/>
        </w:tabs>
        <w:spacing w:after="0"/>
      </w:pPr>
      <w:r>
        <w:t>Část obce, ulice: _____________________________________________</w:t>
      </w:r>
      <w:r>
        <w:tab/>
        <w:t>čp:    _____________</w:t>
      </w:r>
    </w:p>
    <w:p w14:paraId="78062B7A" w14:textId="77777777" w:rsidR="00535490" w:rsidRDefault="00535490" w:rsidP="00535490">
      <w:pPr>
        <w:pBdr>
          <w:top w:val="single" w:sz="4" w:space="1" w:color="auto"/>
          <w:left w:val="single" w:sz="4" w:space="4" w:color="auto"/>
          <w:bottom w:val="single" w:sz="4" w:space="0" w:color="auto"/>
          <w:right w:val="single" w:sz="4" w:space="29" w:color="auto"/>
        </w:pBdr>
        <w:tabs>
          <w:tab w:val="left" w:pos="4536"/>
        </w:tabs>
        <w:rPr>
          <w:b/>
        </w:rPr>
      </w:pPr>
      <w:r>
        <w:t>Město: ____________________________________________________</w:t>
      </w:r>
      <w:r>
        <w:tab/>
        <w:t>PSČ: _____________</w:t>
      </w:r>
    </w:p>
    <w:p w14:paraId="1FBEF22A" w14:textId="77777777" w:rsidR="00105DCF"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rsidRPr="00535490">
        <w:t xml:space="preserve">Přeplatek vznikl z důvodu: </w:t>
      </w:r>
      <w:r>
        <w:t>____________________________________________________________</w:t>
      </w:r>
    </w:p>
    <w:p w14:paraId="7B5CFF0F" w14:textId="77777777" w:rsid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t>Ke dni: ____________________________ v částce: _________________________Kč</w:t>
      </w:r>
    </w:p>
    <w:p w14:paraId="39B1DF6E" w14:textId="77777777" w:rsid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p>
    <w:p w14:paraId="77D557E6" w14:textId="77777777" w:rsid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t>Poplatek byl zaplacen dne: ____________________ v částce: _________________Kč</w:t>
      </w:r>
    </w:p>
    <w:p w14:paraId="4E9A03B2" w14:textId="77777777" w:rsid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p>
    <w:p w14:paraId="058CA84C" w14:textId="77777777" w:rsidR="00535490" w:rsidRP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rPr>
          <w:b/>
        </w:rPr>
      </w:pPr>
      <w:r w:rsidRPr="00535490">
        <w:rPr>
          <w:b/>
        </w:rPr>
        <w:t>Způsob vyplacení:</w:t>
      </w:r>
    </w:p>
    <w:p w14:paraId="00211CEB" w14:textId="77777777" w:rsid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t>- na účet vedený u peněžního ústavu*: ____________________________________________(název)</w:t>
      </w:r>
    </w:p>
    <w:p w14:paraId="115F046B" w14:textId="77777777" w:rsidR="00225E09"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t xml:space="preserve">   </w:t>
      </w:r>
    </w:p>
    <w:p w14:paraId="05393453" w14:textId="77777777" w:rsidR="00535490" w:rsidRDefault="00225E09" w:rsidP="00CA7652">
      <w:pPr>
        <w:pBdr>
          <w:top w:val="single" w:sz="4" w:space="1" w:color="auto"/>
          <w:left w:val="single" w:sz="4" w:space="4" w:color="auto"/>
          <w:bottom w:val="single" w:sz="4" w:space="0" w:color="auto"/>
          <w:right w:val="single" w:sz="4" w:space="29" w:color="auto"/>
        </w:pBdr>
        <w:tabs>
          <w:tab w:val="left" w:pos="4536"/>
        </w:tabs>
        <w:spacing w:after="0"/>
      </w:pPr>
      <w:r>
        <w:t xml:space="preserve">   </w:t>
      </w:r>
      <w:r w:rsidR="00535490">
        <w:t>Číslo účtu: _________________________________________ kód banky: _____________________</w:t>
      </w:r>
    </w:p>
    <w:p w14:paraId="7E98FF83" w14:textId="77777777" w:rsidR="00225E09" w:rsidRDefault="00225E09" w:rsidP="00CA7652">
      <w:pPr>
        <w:pBdr>
          <w:top w:val="single" w:sz="4" w:space="1" w:color="auto"/>
          <w:left w:val="single" w:sz="4" w:space="4" w:color="auto"/>
          <w:bottom w:val="single" w:sz="4" w:space="0" w:color="auto"/>
          <w:right w:val="single" w:sz="4" w:space="29" w:color="auto"/>
        </w:pBdr>
        <w:tabs>
          <w:tab w:val="left" w:pos="4536"/>
        </w:tabs>
        <w:spacing w:after="0"/>
      </w:pPr>
    </w:p>
    <w:p w14:paraId="4E8F5329" w14:textId="77777777" w:rsidR="00535490" w:rsidRPr="00535490" w:rsidRDefault="00535490" w:rsidP="00CA7652">
      <w:pPr>
        <w:pBdr>
          <w:top w:val="single" w:sz="4" w:space="1" w:color="auto"/>
          <w:left w:val="single" w:sz="4" w:space="4" w:color="auto"/>
          <w:bottom w:val="single" w:sz="4" w:space="0" w:color="auto"/>
          <w:right w:val="single" w:sz="4" w:space="29" w:color="auto"/>
        </w:pBdr>
        <w:tabs>
          <w:tab w:val="left" w:pos="4536"/>
        </w:tabs>
        <w:spacing w:after="0"/>
      </w:pPr>
      <w:r>
        <w:t xml:space="preserve">- vyzvednu osobně v hotovosti *. </w:t>
      </w:r>
    </w:p>
    <w:p w14:paraId="6B7620A3" w14:textId="77777777" w:rsidR="006569CD" w:rsidRDefault="00105DCF" w:rsidP="001517B9">
      <w:pPr>
        <w:pBdr>
          <w:top w:val="single" w:sz="4" w:space="1" w:color="auto"/>
          <w:left w:val="single" w:sz="4" w:space="4" w:color="auto"/>
          <w:bottom w:val="single" w:sz="4" w:space="0" w:color="auto"/>
          <w:right w:val="single" w:sz="4" w:space="29" w:color="auto"/>
        </w:pBdr>
        <w:tabs>
          <w:tab w:val="left" w:pos="4536"/>
        </w:tabs>
        <w:spacing w:after="0"/>
        <w:rPr>
          <w:b/>
        </w:rPr>
      </w:pPr>
      <w:r>
        <w:rPr>
          <w:b/>
        </w:rPr>
        <w:t xml:space="preserve">* </w:t>
      </w:r>
      <w:r w:rsidRPr="001517B9">
        <w:t>zakroužkujte vybrané</w:t>
      </w:r>
    </w:p>
    <w:p w14:paraId="2DCEF7C4" w14:textId="77777777" w:rsidR="001517B9" w:rsidRPr="00BA6B35" w:rsidRDefault="001517B9" w:rsidP="001517B9">
      <w:pPr>
        <w:pBdr>
          <w:top w:val="single" w:sz="4" w:space="1" w:color="auto"/>
          <w:left w:val="single" w:sz="4" w:space="4" w:color="auto"/>
          <w:bottom w:val="single" w:sz="4" w:space="0" w:color="auto"/>
          <w:right w:val="single" w:sz="4" w:space="29" w:color="auto"/>
        </w:pBdr>
        <w:tabs>
          <w:tab w:val="left" w:pos="4536"/>
        </w:tabs>
        <w:spacing w:after="0"/>
        <w:rPr>
          <w:sz w:val="20"/>
          <w:szCs w:val="20"/>
        </w:rPr>
      </w:pPr>
    </w:p>
    <w:p w14:paraId="7803D911" w14:textId="77777777" w:rsidR="00CB4473" w:rsidRPr="00BA6B35" w:rsidRDefault="006569CD" w:rsidP="00CB4473">
      <w:pPr>
        <w:spacing w:after="0"/>
        <w:rPr>
          <w:sz w:val="20"/>
          <w:szCs w:val="20"/>
        </w:rPr>
      </w:pPr>
      <w:r w:rsidRPr="00BA6B35">
        <w:rPr>
          <w:sz w:val="20"/>
          <w:szCs w:val="20"/>
        </w:rPr>
        <w:t>Prohlašuji</w:t>
      </w:r>
      <w:r w:rsidR="003848CD" w:rsidRPr="00BA6B35">
        <w:rPr>
          <w:sz w:val="20"/>
          <w:szCs w:val="20"/>
        </w:rPr>
        <w:t>,</w:t>
      </w:r>
      <w:r w:rsidRPr="00BA6B35">
        <w:rPr>
          <w:sz w:val="20"/>
          <w:szCs w:val="20"/>
        </w:rPr>
        <w:t xml:space="preserve"> že mnou uvedené údaje jsou pravdivé a úplné a jsem si vědom(a) právních následků při podání</w:t>
      </w:r>
      <w:r w:rsidR="003848CD" w:rsidRPr="00BA6B35">
        <w:rPr>
          <w:sz w:val="20"/>
          <w:szCs w:val="20"/>
        </w:rPr>
        <w:t xml:space="preserve"> nepravdivých údajů. Dále si uvědomuji svou povinnost hlásit každou změnu výše uvedených údajů.</w:t>
      </w:r>
      <w:r w:rsidR="00CB4473" w:rsidRPr="00BA6B35">
        <w:rPr>
          <w:sz w:val="20"/>
          <w:szCs w:val="20"/>
        </w:rPr>
        <w:t xml:space="preserve"> Uvedené údaje budou použity pro správu místních poplatků.</w:t>
      </w:r>
    </w:p>
    <w:p w14:paraId="46AB4A3A" w14:textId="77777777" w:rsidR="0011488A" w:rsidRDefault="0011488A" w:rsidP="003848CD">
      <w:pPr>
        <w:spacing w:after="0"/>
      </w:pPr>
    </w:p>
    <w:p w14:paraId="344B6006" w14:textId="77777777" w:rsidR="003848CD" w:rsidRDefault="006A5018" w:rsidP="00250FD9">
      <w:pPr>
        <w:spacing w:after="0"/>
        <w:ind w:right="-709"/>
      </w:pPr>
      <w:r>
        <w:t>V</w:t>
      </w:r>
      <w:r w:rsidR="003848CD">
        <w:t xml:space="preserve"> __________________________Dne: _____________</w:t>
      </w:r>
      <w:r w:rsidR="007F36CE">
        <w:t>__</w:t>
      </w:r>
      <w:r w:rsidR="003848CD">
        <w:t xml:space="preserve"> Podpis </w:t>
      </w:r>
      <w:r w:rsidR="00535490">
        <w:t>žadatele</w:t>
      </w:r>
      <w:r w:rsidR="003848CD">
        <w:t>: _____________________</w:t>
      </w:r>
      <w:r w:rsidR="007F36CE">
        <w:t>____</w:t>
      </w:r>
    </w:p>
    <w:p w14:paraId="20494475" w14:textId="77777777" w:rsidR="00225E09" w:rsidRDefault="00225E09" w:rsidP="003848CD">
      <w:pPr>
        <w:spacing w:after="0"/>
      </w:pPr>
    </w:p>
    <w:p w14:paraId="0BD8A3B0" w14:textId="77777777" w:rsidR="00B4510E" w:rsidRDefault="00B4510E" w:rsidP="003848CD">
      <w:pPr>
        <w:spacing w:after="0"/>
      </w:pPr>
    </w:p>
    <w:p w14:paraId="1FF71187" w14:textId="77777777" w:rsidR="00B4510E" w:rsidRDefault="00B4510E" w:rsidP="003848CD">
      <w:pPr>
        <w:spacing w:after="0"/>
      </w:pPr>
    </w:p>
    <w:p w14:paraId="35D3F0CE" w14:textId="77777777" w:rsidR="00225E09" w:rsidRPr="00225E09" w:rsidRDefault="00225E09" w:rsidP="003848CD">
      <w:pPr>
        <w:spacing w:after="0"/>
        <w:rPr>
          <w:b/>
        </w:rPr>
      </w:pPr>
      <w:r w:rsidRPr="00225E09">
        <w:rPr>
          <w:b/>
        </w:rPr>
        <w:t>Informace pro žadatele:</w:t>
      </w:r>
    </w:p>
    <w:p w14:paraId="1EC9E06F" w14:textId="77777777" w:rsidR="00225E09" w:rsidRDefault="00225E09" w:rsidP="003848CD">
      <w:pPr>
        <w:spacing w:after="0"/>
      </w:pPr>
      <w:r>
        <w:t>Přeplatek se vrátí, činí-li více než 100,- Kč. Žádost o vrácení přeplatku je od správních poplatků osvobozena. Vyhoví-li správce poplatku v plném rozsahu žádosti o vrácení přeplatku, neoznamuje poplatníkovi rozhodnutí, pokud o to není v žádosti výslovně požádáno (§ 155 odst. 4 zák. č. 280/2009 Sb., daňový řád, ve znění pozdějších předpisů).</w:t>
      </w:r>
    </w:p>
    <w:p w14:paraId="41B3D4BF" w14:textId="77777777" w:rsidR="00250FD9" w:rsidRDefault="00250FD9" w:rsidP="00250FD9">
      <w:pPr>
        <w:spacing w:after="0"/>
        <w:ind w:right="-567"/>
        <w:rPr>
          <w:sz w:val="20"/>
          <w:szCs w:val="20"/>
        </w:rPr>
      </w:pPr>
    </w:p>
    <w:p w14:paraId="09A6C6F9" w14:textId="77777777" w:rsidR="00B4510E" w:rsidRDefault="00B4510E" w:rsidP="00250FD9">
      <w:pPr>
        <w:spacing w:after="0"/>
        <w:ind w:right="-567"/>
        <w:rPr>
          <w:sz w:val="20"/>
          <w:szCs w:val="20"/>
        </w:rPr>
      </w:pPr>
    </w:p>
    <w:p w14:paraId="58D019C5" w14:textId="77777777" w:rsidR="00B4510E" w:rsidRDefault="00B4510E" w:rsidP="00250FD9">
      <w:pPr>
        <w:spacing w:after="0"/>
        <w:ind w:right="-567"/>
        <w:rPr>
          <w:sz w:val="20"/>
          <w:szCs w:val="20"/>
        </w:rPr>
      </w:pPr>
    </w:p>
    <w:p w14:paraId="0D2D1CC5" w14:textId="77777777" w:rsidR="00B4510E" w:rsidRDefault="00B4510E" w:rsidP="00250FD9">
      <w:pPr>
        <w:spacing w:after="0"/>
        <w:ind w:right="-567"/>
        <w:rPr>
          <w:sz w:val="20"/>
          <w:szCs w:val="20"/>
        </w:rPr>
      </w:pPr>
    </w:p>
    <w:p w14:paraId="4939D9ED" w14:textId="77777777" w:rsidR="00B4510E" w:rsidRDefault="00B4510E" w:rsidP="00250FD9">
      <w:pPr>
        <w:spacing w:after="0"/>
        <w:ind w:right="-567"/>
        <w:rPr>
          <w:sz w:val="20"/>
          <w:szCs w:val="20"/>
        </w:rPr>
      </w:pPr>
    </w:p>
    <w:p w14:paraId="2AF575BC" w14:textId="77777777" w:rsidR="001517B9" w:rsidRPr="00870D75" w:rsidRDefault="00250FD9" w:rsidP="003848CD">
      <w:pPr>
        <w:spacing w:after="0"/>
      </w:pPr>
      <w:r w:rsidRPr="00870D75">
        <w:rPr>
          <w:b/>
          <w:u w:val="single"/>
        </w:rPr>
        <w:t>Záznamy OÚ</w:t>
      </w:r>
      <w:r w:rsidRPr="00870D75">
        <w:rPr>
          <w:b/>
        </w:rPr>
        <w:t xml:space="preserve"> </w:t>
      </w:r>
      <w:r w:rsidRPr="00870D75">
        <w:t xml:space="preserve">: </w:t>
      </w:r>
    </w:p>
    <w:p w14:paraId="25B278AD" w14:textId="77777777" w:rsidR="001517B9" w:rsidRDefault="00225E09" w:rsidP="001517B9">
      <w:pPr>
        <w:pBdr>
          <w:top w:val="single" w:sz="4" w:space="1" w:color="auto"/>
          <w:left w:val="single" w:sz="4" w:space="4" w:color="auto"/>
          <w:bottom w:val="single" w:sz="4" w:space="0" w:color="auto"/>
          <w:right w:val="single" w:sz="4" w:space="29" w:color="auto"/>
        </w:pBdr>
        <w:tabs>
          <w:tab w:val="left" w:pos="4536"/>
        </w:tabs>
        <w:spacing w:after="0"/>
        <w:rPr>
          <w:b/>
        </w:rPr>
      </w:pPr>
      <w:r>
        <w:rPr>
          <w:b/>
        </w:rPr>
        <w:t>Přeplatek vyplacen</w:t>
      </w:r>
      <w:r w:rsidR="001517B9">
        <w:rPr>
          <w:b/>
        </w:rPr>
        <w:t>:</w:t>
      </w:r>
    </w:p>
    <w:p w14:paraId="4ACC5459" w14:textId="77777777" w:rsidR="001517B9" w:rsidRDefault="001517B9" w:rsidP="001517B9">
      <w:pPr>
        <w:pBdr>
          <w:top w:val="single" w:sz="4" w:space="1" w:color="auto"/>
          <w:left w:val="single" w:sz="4" w:space="4" w:color="auto"/>
          <w:bottom w:val="single" w:sz="4" w:space="0" w:color="auto"/>
          <w:right w:val="single" w:sz="4" w:space="29" w:color="auto"/>
        </w:pBdr>
        <w:tabs>
          <w:tab w:val="left" w:pos="4536"/>
        </w:tabs>
        <w:spacing w:after="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w:t>
      </w:r>
    </w:p>
    <w:p w14:paraId="1BCCA975" w14:textId="77777777" w:rsidR="001517B9" w:rsidRDefault="001517B9" w:rsidP="001517B9">
      <w:pPr>
        <w:pBdr>
          <w:top w:val="single" w:sz="4" w:space="1" w:color="auto"/>
          <w:left w:val="single" w:sz="4" w:space="4" w:color="auto"/>
          <w:bottom w:val="single" w:sz="4" w:space="0" w:color="auto"/>
          <w:right w:val="single" w:sz="4" w:space="29" w:color="auto"/>
        </w:pBdr>
        <w:tabs>
          <w:tab w:val="left" w:pos="4536"/>
        </w:tabs>
        <w:spacing w:after="0"/>
        <w:rPr>
          <w:b/>
        </w:rPr>
      </w:pPr>
    </w:p>
    <w:p w14:paraId="158DC027" w14:textId="77777777" w:rsidR="001517B9" w:rsidRDefault="001517B9" w:rsidP="003848CD">
      <w:pPr>
        <w:spacing w:after="0"/>
        <w:rPr>
          <w:sz w:val="20"/>
          <w:szCs w:val="20"/>
        </w:rPr>
      </w:pPr>
    </w:p>
    <w:p w14:paraId="7A11590D" w14:textId="77777777" w:rsidR="00CB4473" w:rsidRPr="00870D75" w:rsidRDefault="00AA2C2D" w:rsidP="00250FD9">
      <w:pPr>
        <w:spacing w:after="0"/>
        <w:ind w:right="-709"/>
      </w:pPr>
      <w:r>
        <w:t>Zpracoval</w:t>
      </w:r>
      <w:r w:rsidR="00183F21">
        <w:t>, datum</w:t>
      </w:r>
      <w:r w:rsidR="00CB4473" w:rsidRPr="00870D75">
        <w:t>: ____________</w:t>
      </w:r>
      <w:r w:rsidR="00183F21">
        <w:t>___</w:t>
      </w:r>
      <w:r w:rsidR="00CB4473" w:rsidRPr="00870D75">
        <w:t xml:space="preserve"> </w:t>
      </w:r>
      <w:r w:rsidR="00250FD9" w:rsidRPr="00870D75">
        <w:tab/>
      </w:r>
      <w:r w:rsidR="00250FD9" w:rsidRPr="00870D75">
        <w:tab/>
      </w:r>
      <w:r w:rsidR="00183F21">
        <w:t>Podpis: __________________</w:t>
      </w:r>
      <w:r w:rsidR="00183764">
        <w:t xml:space="preserve"> </w:t>
      </w:r>
      <w:r w:rsidR="00183764">
        <w:tab/>
      </w:r>
      <w:r w:rsidR="00183764">
        <w:tab/>
      </w:r>
      <w:r w:rsidR="00250FD9" w:rsidRPr="00183764">
        <w:rPr>
          <w:sz w:val="28"/>
          <w:szCs w:val="28"/>
        </w:rPr>
        <w:t xml:space="preserve"> </w:t>
      </w:r>
      <w:r w:rsidR="00CB4473" w:rsidRPr="00183764">
        <w:rPr>
          <w:b/>
          <w:sz w:val="28"/>
          <w:szCs w:val="28"/>
        </w:rPr>
        <w:t>VS</w:t>
      </w:r>
      <w:r w:rsidR="00BA6B35" w:rsidRPr="00183764">
        <w:rPr>
          <w:sz w:val="28"/>
          <w:szCs w:val="28"/>
        </w:rPr>
        <w:t>:</w:t>
      </w:r>
      <w:r w:rsidR="00BA6B35" w:rsidRPr="00870D75">
        <w:t xml:space="preserve"> </w:t>
      </w:r>
      <w:r w:rsidR="00250FD9" w:rsidRPr="00870D75">
        <w:t>________</w:t>
      </w:r>
      <w:r w:rsidR="00183764">
        <w:t>____</w:t>
      </w:r>
    </w:p>
    <w:p w14:paraId="06925378" w14:textId="77777777" w:rsidR="001517B9" w:rsidRDefault="001517B9" w:rsidP="00250FD9">
      <w:pPr>
        <w:spacing w:after="0"/>
        <w:ind w:right="-709"/>
      </w:pPr>
    </w:p>
    <w:p w14:paraId="0349413F" w14:textId="77777777" w:rsidR="00B4510E" w:rsidRDefault="00B4510E" w:rsidP="00250FD9">
      <w:pPr>
        <w:spacing w:after="0"/>
        <w:ind w:right="-709"/>
      </w:pPr>
    </w:p>
    <w:p w14:paraId="6632451C" w14:textId="77777777" w:rsidR="00B4510E" w:rsidRPr="00870D75" w:rsidRDefault="00B4510E" w:rsidP="00250FD9">
      <w:pPr>
        <w:spacing w:after="0"/>
        <w:ind w:right="-709"/>
      </w:pPr>
    </w:p>
    <w:p w14:paraId="3698CCEE" w14:textId="77777777" w:rsidR="000D5145" w:rsidRPr="000D5145" w:rsidRDefault="000D5145" w:rsidP="000D5145">
      <w:pPr>
        <w:spacing w:after="0" w:line="240" w:lineRule="auto"/>
        <w:outlineLvl w:val="2"/>
        <w:rPr>
          <w:rFonts w:ascii="Arial" w:eastAsia="Times New Roman" w:hAnsi="Arial" w:cs="Arial"/>
          <w:b/>
          <w:bCs/>
          <w:sz w:val="16"/>
          <w:szCs w:val="16"/>
          <w:lang w:eastAsia="cs-CZ"/>
        </w:rPr>
      </w:pPr>
      <w:r w:rsidRPr="000D5145">
        <w:rPr>
          <w:rFonts w:ascii="Arial" w:eastAsia="Times New Roman" w:hAnsi="Arial" w:cs="Arial"/>
          <w:b/>
          <w:bCs/>
          <w:sz w:val="16"/>
          <w:szCs w:val="16"/>
          <w:lang w:eastAsia="cs-CZ"/>
        </w:rPr>
        <w:t>Přeplatek (daňový řád)</w:t>
      </w:r>
    </w:p>
    <w:p w14:paraId="1EFA91FE"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sz w:val="16"/>
          <w:szCs w:val="16"/>
          <w:lang w:eastAsia="cs-CZ"/>
        </w:rPr>
        <w:t>§ 154</w:t>
      </w:r>
    </w:p>
    <w:p w14:paraId="0DBF7459"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(1)</w:t>
      </w:r>
      <w:r w:rsidRPr="000D5145">
        <w:rPr>
          <w:rFonts w:ascii="Arial" w:eastAsia="Times New Roman" w:hAnsi="Arial" w:cs="Arial"/>
          <w:sz w:val="16"/>
          <w:szCs w:val="16"/>
          <w:lang w:eastAsia="cs-CZ"/>
        </w:rPr>
        <w:t xml:space="preserve"> Přeplatek je částka, o kterou úhrn plateb a vratek na kreditní straně osobního daňového účtu převyšuje úhrn předpisů a odpisů na debetní straně osobního daňového účtu.</w:t>
      </w:r>
    </w:p>
    <w:p w14:paraId="04DF4138"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(2)</w:t>
      </w:r>
      <w:r w:rsidRPr="000D5145">
        <w:rPr>
          <w:rFonts w:ascii="Arial" w:eastAsia="Times New Roman" w:hAnsi="Arial" w:cs="Arial"/>
          <w:sz w:val="16"/>
          <w:szCs w:val="16"/>
          <w:lang w:eastAsia="cs-CZ"/>
        </w:rPr>
        <w:t xml:space="preserve"> Správce daně převede přeplatek na úhradu případného nedoplatku téhož daňového subjektu na jiném osobním daňovém účtu, popřípadě na úhradu nedoplatku podle odstavce 4. Není-li takového nedoplatku, stává se přeplatek vratitelným přeplatkem a zůstává jako platba na dosud neuhrazenou daň na osobním daňovém účtu, na kterém je evidován. Pokud existuje odůvodněný předpoklad, že dojde do 10 dnů ode dne, kdy má být přeplatek na úhradu nedoplatku na jiném osobním daňovém účtu použit, ke vzniku povinnosti uhradit daň na stejném osobním daňovém účtu, přeplatek se na úhradu nedoplatku na jiném osobním daňovém účtu nepoužije.</w:t>
      </w:r>
    </w:p>
    <w:p w14:paraId="03D5AE61"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(3)</w:t>
      </w:r>
      <w:r w:rsidRPr="000D5145">
        <w:rPr>
          <w:rFonts w:ascii="Arial" w:eastAsia="Times New Roman" w:hAnsi="Arial" w:cs="Arial"/>
          <w:sz w:val="16"/>
          <w:szCs w:val="16"/>
          <w:lang w:eastAsia="cs-CZ"/>
        </w:rPr>
        <w:t xml:space="preserve"> Jsou-li nedoplatky evidovány na více osobních daňových účtech, upřednostní správce daně při převodu přeplatku na jiný osobní daňový účet úhradu nákladů řízení a zbylý přeplatek použije na úhradu nedoplatků postupně podle jednotlivých skupin uvedených v § 152 odst. 1 bez ohledu na to, na jakém osobním daňovém účtu se nacházejí.</w:t>
      </w:r>
    </w:p>
    <w:p w14:paraId="378F7915"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(4)</w:t>
      </w:r>
      <w:r w:rsidRPr="000D5145">
        <w:rPr>
          <w:rFonts w:ascii="Arial" w:eastAsia="Times New Roman" w:hAnsi="Arial" w:cs="Arial"/>
          <w:sz w:val="16"/>
          <w:szCs w:val="16"/>
          <w:lang w:eastAsia="cs-CZ"/>
        </w:rPr>
        <w:t xml:space="preserve"> Přeplatek se použije i na úhradu nedoplatku téhož daňového subjektu u jiného správce daně, u něhož je nedoplatek evidován, vyžádá-li si ho správce daně tak, aby žádost došla správci daně, u něhož je evidován přeplatek, ještě před vystavením příkazu k jeho vrácení, nejpozději však do dne, kdy uplyne lhůta stanovená pro jeho vrácení. K žádosti se připojí výkaz nedoplatků, které mají být přeplatkem uhrazeny; pokud se požadavek uplatní prostřednictvím propojených informačních systémů, stačí předložit výkaz nedoplatků dodatečně do 30 dnů od uplatnění požadavku na úhradu nedoplatků prostřednictvím těchto systémů. Žádosti se vyhoví i v případě, že přeplatek vznikne do 30 dnů ode dne vyžádání. Bylo-li správci daně doručeno více žádostí, provede se úhrada v pořadí, v jakém správci daně žádosti došly. Úhrada nedoplatků evidovaných u správce daně, u něhož je evidován přeplatek, má přednost.</w:t>
      </w:r>
    </w:p>
    <w:p w14:paraId="1624FD2A"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(5)</w:t>
      </w:r>
      <w:r w:rsidRPr="000D5145">
        <w:rPr>
          <w:rFonts w:ascii="Arial" w:eastAsia="Times New Roman" w:hAnsi="Arial" w:cs="Arial"/>
          <w:sz w:val="16"/>
          <w:szCs w:val="16"/>
          <w:lang w:eastAsia="cs-CZ"/>
        </w:rPr>
        <w:t xml:space="preserve"> O převedení přeplatku podle odstavců 2 a 4, jehož výše přesahuje částku 1000 Kč, se daňový subjekt vyrozumí. Za den úhrady nedoplatku převodem přeplatku se považuje den, který následuje po dni vzniku přeplatku, pokud tento nastal po dni vzniku nedoplatku; jinak den vzniku nedoplatku.</w:t>
      </w:r>
    </w:p>
    <w:p w14:paraId="2410E244"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sz w:val="16"/>
          <w:szCs w:val="16"/>
          <w:lang w:eastAsia="cs-CZ"/>
        </w:rPr>
        <w:t>§ 155</w:t>
      </w:r>
    </w:p>
    <w:p w14:paraId="36C51269"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(1)</w:t>
      </w:r>
      <w:r w:rsidRPr="000D5145">
        <w:rPr>
          <w:rFonts w:ascii="Arial" w:eastAsia="Times New Roman" w:hAnsi="Arial" w:cs="Arial"/>
          <w:sz w:val="16"/>
          <w:szCs w:val="16"/>
          <w:lang w:eastAsia="cs-CZ"/>
        </w:rPr>
        <w:t xml:space="preserve"> Daňový subjekt je oprávněn požádat správce daně, u něhož má vratitelný přeplatek, o použití tohoto přeplatku na úhradu nedoplatku, který má u jiného správce daně, nebo na úhradu nedoplatku jiného daňového subjektu u téhož nebo jiného správce daně, anebo na úhradu zálohy, jejíž výše se předepíše na debetní stranu osobního daňového účtu na základě uhrazené částky. Je-li této žádosti vyhověno, považuje se za den úhrady nedoplatku nebo zálohy den, kdy došla žádost správci daně.</w:t>
      </w:r>
    </w:p>
    <w:p w14:paraId="41601977"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(2)</w:t>
      </w:r>
      <w:r w:rsidRPr="000D5145">
        <w:rPr>
          <w:rFonts w:ascii="Arial" w:eastAsia="Times New Roman" w:hAnsi="Arial" w:cs="Arial"/>
          <w:sz w:val="16"/>
          <w:szCs w:val="16"/>
          <w:lang w:eastAsia="cs-CZ"/>
        </w:rPr>
        <w:t xml:space="preserve"> Správce daně vrátí daňovému subjektu vratitelný přeplatek na základě žádosti daňového subjektu o vrácení vratitelného přeplatku, nebo pokud tak stanoví zákon. Správce daně vratitelný přeplatek nižší než 100 Kč daňovému subjektu vrátí jen ve výjimečných případech tak, aby byla zajištěna zásada hospodárnosti.</w:t>
      </w:r>
    </w:p>
    <w:p w14:paraId="1EBDC379"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(3)</w:t>
      </w:r>
      <w:r w:rsidRPr="000D5145">
        <w:rPr>
          <w:rFonts w:ascii="Arial" w:eastAsia="Times New Roman" w:hAnsi="Arial" w:cs="Arial"/>
          <w:sz w:val="16"/>
          <w:szCs w:val="16"/>
          <w:lang w:eastAsia="cs-CZ"/>
        </w:rPr>
        <w:t xml:space="preserve"> Pokud v době podání žádosti o vrácení vratitelného přeplatku dosahuje vratitelný přeplatek nejméně částku 100 Kč, poukáže jej správce daně do 30 dnů ode dne obdržení žádosti podle odstavce 2, v opačném případě žádosti vyhoví, pouze pokud vratitelný přeplatek této částky dosáhne do 60 dnů ode dne podání žádosti; lhůta pro jeho vrácení počíná běžet až ode dne následujícího po dosažení této částky. Je-li daňový subjekt u správce daně registrován, je povinen určit k vrácení přeplatku jeden z účtů u poskytovatelů platebních služeb uvedených v registraci.</w:t>
      </w:r>
    </w:p>
    <w:p w14:paraId="7100B93E"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(4)</w:t>
      </w:r>
      <w:r w:rsidRPr="000D5145">
        <w:rPr>
          <w:rFonts w:ascii="Arial" w:eastAsia="Times New Roman" w:hAnsi="Arial" w:cs="Arial"/>
          <w:sz w:val="16"/>
          <w:szCs w:val="16"/>
          <w:lang w:eastAsia="cs-CZ"/>
        </w:rPr>
        <w:t xml:space="preserve"> Proti rozhodnutí správce daně o žádosti podle odstavců 1 a 2 se lze odvolat do 15 dnů ode dne jeho doručení. Vyhoví-li správce daně v plném rozsahu této žádosti, rozhodnutí daňovému subjektu neoznamuje, pokud o to není v žádosti výslovně požádán. Za den vydání rozhodnutí o žádosti, které bylo v plném rozsahu vyhověno, a současně za den jeho oznámení daňovému subjektu se považuje den, který následuje po dni doručení žádosti správci daně; proti tomuto rozhodnutí nelze uplatnit opravné prostředky.</w:t>
      </w:r>
    </w:p>
    <w:p w14:paraId="43CF79E2"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(5)</w:t>
      </w:r>
      <w:r w:rsidRPr="000D5145">
        <w:rPr>
          <w:rFonts w:ascii="Arial" w:eastAsia="Times New Roman" w:hAnsi="Arial" w:cs="Arial"/>
          <w:sz w:val="16"/>
          <w:szCs w:val="16"/>
          <w:lang w:eastAsia="cs-CZ"/>
        </w:rPr>
        <w:t xml:space="preserve"> Je-li poukazován správcem daně vratitelný přeplatek na žádost po lhůtě stanovené v odstavci 3 nebo po lhůtě stanovené zákonem pro vrácení vratitelného přeplatku, který se vrací bez žádosti, náleží daňovému subjektu úrok z vratitelného přeplatku, který odpovídá ročně výši </w:t>
      </w:r>
      <w:proofErr w:type="spellStart"/>
      <w:r w:rsidRPr="000D5145">
        <w:rPr>
          <w:rFonts w:ascii="Arial" w:eastAsia="Times New Roman" w:hAnsi="Arial" w:cs="Arial"/>
          <w:sz w:val="16"/>
          <w:szCs w:val="16"/>
          <w:lang w:eastAsia="cs-CZ"/>
        </w:rPr>
        <w:t>repo</w:t>
      </w:r>
      <w:proofErr w:type="spellEnd"/>
      <w:r w:rsidRPr="000D5145">
        <w:rPr>
          <w:rFonts w:ascii="Arial" w:eastAsia="Times New Roman" w:hAnsi="Arial" w:cs="Arial"/>
          <w:sz w:val="16"/>
          <w:szCs w:val="16"/>
          <w:lang w:eastAsia="cs-CZ"/>
        </w:rPr>
        <w:t xml:space="preserve"> sazby stanovené Českou národní bankou, zvýšené o 14 procentních bodů, platné pro první den příslušného kalendářního pololetí. Tento úrok daňovému subjektu náleží ode dne následujícího po dni, ve kterém uplynula stanovená lhůta pro vrácení vratitelného přeplatku, do dne jeho poukázání daňovému subjektu. Úrok se nepřizná, nepřesahuje-li 100 Kč. O výši úroku rozhodne správce daně bezodkladně po vrácení tohoto přeplatku; § 254 odst. 3 a 6 se použije obdobně.</w:t>
      </w:r>
    </w:p>
    <w:p w14:paraId="09839E68"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(6)</w:t>
      </w:r>
      <w:r w:rsidRPr="000D5145">
        <w:rPr>
          <w:rFonts w:ascii="Arial" w:eastAsia="Times New Roman" w:hAnsi="Arial" w:cs="Arial"/>
          <w:sz w:val="16"/>
          <w:szCs w:val="16"/>
          <w:lang w:eastAsia="cs-CZ"/>
        </w:rPr>
        <w:t xml:space="preserve"> Za den poukázání vratitelného přeplatku se považuje den, kdy došlo k jeho odepsání z účtu správce daně. Vratitelný přeplatek poukazuje správce daně v české měně ve výši, v jaké byl evidován, a to bezhotovostním převodem na účet vedený u poskytovatele platebních služeb nebo poštovním poukazem; v případě bezhotovostního převodu na účet vedený u poskytovatele platebních služeb mimo území států Evropské unie hradí náklady převodu daňový subjekt.</w:t>
      </w:r>
    </w:p>
    <w:p w14:paraId="1960C451" w14:textId="77777777" w:rsidR="000D5145" w:rsidRPr="000D5145" w:rsidRDefault="000D5145" w:rsidP="000D5145">
      <w:pPr>
        <w:spacing w:after="0" w:line="240" w:lineRule="auto"/>
        <w:rPr>
          <w:rFonts w:ascii="Arial" w:eastAsia="Times New Roman" w:hAnsi="Arial" w:cs="Arial"/>
          <w:sz w:val="16"/>
          <w:szCs w:val="16"/>
          <w:lang w:eastAsia="cs-CZ"/>
        </w:rPr>
      </w:pPr>
      <w:r w:rsidRPr="000D5145">
        <w:rPr>
          <w:rFonts w:ascii="Arial" w:eastAsia="Times New Roman" w:hAnsi="Arial" w:cs="Arial"/>
          <w:i/>
          <w:iCs/>
          <w:sz w:val="16"/>
          <w:szCs w:val="16"/>
          <w:lang w:eastAsia="cs-CZ"/>
        </w:rPr>
        <w:t>(7)</w:t>
      </w:r>
      <w:r w:rsidRPr="000D5145">
        <w:rPr>
          <w:rFonts w:ascii="Arial" w:eastAsia="Times New Roman" w:hAnsi="Arial" w:cs="Arial"/>
          <w:sz w:val="16"/>
          <w:szCs w:val="16"/>
          <w:lang w:eastAsia="cs-CZ"/>
        </w:rPr>
        <w:t xml:space="preserve"> Nepožádá-li daňový subjekt o vrácení vratitelného přeplatku do 6 let od konce roku, ve kterém přeplatek vznikl, přeplatek zaniká a stává se příjmem rozpočtu, ze kterého je hrazena činnost správce daně, který o něm evidoval.</w:t>
      </w:r>
    </w:p>
    <w:p w14:paraId="3058044F" w14:textId="77777777" w:rsidR="006E40FE" w:rsidRPr="00D45510" w:rsidRDefault="006E40FE" w:rsidP="000D5145">
      <w:pPr>
        <w:pStyle w:val="slalnk"/>
        <w:spacing w:before="0" w:after="0"/>
        <w:rPr>
          <w:sz w:val="16"/>
          <w:szCs w:val="16"/>
        </w:rPr>
      </w:pPr>
    </w:p>
    <w:sectPr w:rsidR="006E40FE" w:rsidRPr="00D45510" w:rsidSect="00B4510E">
      <w:footerReference w:type="default" r:id="rId9"/>
      <w:pgSz w:w="11906" w:h="16838"/>
      <w:pgMar w:top="567" w:right="1417" w:bottom="993"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695E" w14:textId="77777777" w:rsidR="00FE0F3C" w:rsidRDefault="00FE0F3C" w:rsidP="00D45510">
      <w:pPr>
        <w:spacing w:after="0" w:line="240" w:lineRule="auto"/>
      </w:pPr>
      <w:r>
        <w:separator/>
      </w:r>
    </w:p>
  </w:endnote>
  <w:endnote w:type="continuationSeparator" w:id="0">
    <w:p w14:paraId="66E6C03F" w14:textId="77777777" w:rsidR="00FE0F3C" w:rsidRDefault="00FE0F3C" w:rsidP="00D4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left w:w="0" w:type="dxa"/>
        <w:right w:w="0" w:type="dxa"/>
      </w:tblCellMar>
      <w:tblLook w:val="04A0" w:firstRow="1" w:lastRow="0" w:firstColumn="1" w:lastColumn="0" w:noHBand="0" w:noVBand="1"/>
    </w:tblPr>
    <w:tblGrid>
      <w:gridCol w:w="2269"/>
      <w:gridCol w:w="2694"/>
      <w:gridCol w:w="2694"/>
      <w:gridCol w:w="1415"/>
    </w:tblGrid>
    <w:tr w:rsidR="00B4510E" w:rsidRPr="007D0949" w14:paraId="2315BEC0" w14:textId="77777777" w:rsidTr="007C0D2B">
      <w:trPr>
        <w:tblCellSpacing w:w="0" w:type="dxa"/>
      </w:trPr>
      <w:tc>
        <w:tcPr>
          <w:tcW w:w="1250" w:type="pct"/>
          <w:tcBorders>
            <w:top w:val="nil"/>
            <w:left w:val="nil"/>
            <w:bottom w:val="nil"/>
            <w:right w:val="nil"/>
          </w:tcBorders>
          <w:hideMark/>
        </w:tcPr>
        <w:p w14:paraId="2459C797" w14:textId="77777777" w:rsidR="00B4510E" w:rsidRPr="007D0949" w:rsidRDefault="00B4510E" w:rsidP="00B4510E">
          <w:pPr>
            <w:spacing w:before="100" w:beforeAutospacing="1" w:after="119"/>
            <w:rPr>
              <w:sz w:val="24"/>
              <w:szCs w:val="24"/>
            </w:rPr>
          </w:pPr>
          <w:r w:rsidRPr="007D0949">
            <w:rPr>
              <w:rFonts w:ascii="Arial" w:hAnsi="Arial" w:cs="Arial"/>
              <w:sz w:val="16"/>
              <w:szCs w:val="16"/>
            </w:rPr>
            <w:t>Telefon:383</w:t>
          </w:r>
          <w:r>
            <w:rPr>
              <w:rFonts w:ascii="Arial" w:hAnsi="Arial" w:cs="Arial"/>
              <w:sz w:val="16"/>
              <w:szCs w:val="16"/>
            </w:rPr>
            <w:t xml:space="preserve"> </w:t>
          </w:r>
          <w:r w:rsidRPr="007D0949">
            <w:rPr>
              <w:rFonts w:ascii="Arial" w:hAnsi="Arial" w:cs="Arial"/>
              <w:sz w:val="16"/>
              <w:szCs w:val="16"/>
            </w:rPr>
            <w:t>382</w:t>
          </w:r>
          <w:r>
            <w:rPr>
              <w:rFonts w:ascii="Arial" w:hAnsi="Arial" w:cs="Arial"/>
              <w:sz w:val="16"/>
              <w:szCs w:val="16"/>
            </w:rPr>
            <w:t xml:space="preserve"> </w:t>
          </w:r>
          <w:r w:rsidRPr="007D0949">
            <w:rPr>
              <w:rFonts w:ascii="Arial" w:hAnsi="Arial" w:cs="Arial"/>
              <w:sz w:val="16"/>
              <w:szCs w:val="16"/>
            </w:rPr>
            <w:t>064</w:t>
          </w:r>
        </w:p>
      </w:tc>
      <w:tc>
        <w:tcPr>
          <w:tcW w:w="1485" w:type="pct"/>
          <w:tcBorders>
            <w:top w:val="nil"/>
            <w:left w:val="nil"/>
            <w:bottom w:val="nil"/>
            <w:right w:val="nil"/>
          </w:tcBorders>
          <w:hideMark/>
        </w:tcPr>
        <w:p w14:paraId="234AC240" w14:textId="77777777" w:rsidR="00B4510E" w:rsidRPr="007D0949" w:rsidRDefault="00B4510E" w:rsidP="00B4510E">
          <w:pPr>
            <w:spacing w:before="100" w:beforeAutospacing="1" w:after="119"/>
            <w:rPr>
              <w:sz w:val="24"/>
              <w:szCs w:val="24"/>
            </w:rPr>
          </w:pPr>
          <w:r w:rsidRPr="007D0949">
            <w:rPr>
              <w:rFonts w:ascii="Arial" w:hAnsi="Arial" w:cs="Arial"/>
              <w:sz w:val="16"/>
              <w:szCs w:val="16"/>
            </w:rPr>
            <w:t>Url: www.libejovice.cz</w:t>
          </w:r>
        </w:p>
      </w:tc>
      <w:tc>
        <w:tcPr>
          <w:tcW w:w="1485" w:type="pct"/>
          <w:tcBorders>
            <w:top w:val="nil"/>
            <w:left w:val="nil"/>
            <w:bottom w:val="nil"/>
            <w:right w:val="nil"/>
          </w:tcBorders>
          <w:hideMark/>
        </w:tcPr>
        <w:p w14:paraId="060AD54A" w14:textId="77777777" w:rsidR="00B4510E" w:rsidRPr="007D0949" w:rsidRDefault="00B4510E" w:rsidP="00B4510E">
          <w:pPr>
            <w:spacing w:before="100" w:beforeAutospacing="1" w:after="119"/>
            <w:rPr>
              <w:sz w:val="24"/>
              <w:szCs w:val="24"/>
            </w:rPr>
          </w:pPr>
          <w:r w:rsidRPr="007D0949">
            <w:rPr>
              <w:rFonts w:ascii="Arial" w:hAnsi="Arial" w:cs="Arial"/>
              <w:sz w:val="16"/>
              <w:szCs w:val="16"/>
            </w:rPr>
            <w:t>E-mail podatelna@libejovice.cz</w:t>
          </w:r>
        </w:p>
      </w:tc>
      <w:tc>
        <w:tcPr>
          <w:tcW w:w="780" w:type="pct"/>
          <w:tcBorders>
            <w:top w:val="nil"/>
            <w:left w:val="nil"/>
            <w:bottom w:val="nil"/>
            <w:right w:val="nil"/>
          </w:tcBorders>
          <w:hideMark/>
        </w:tcPr>
        <w:p w14:paraId="68A528A9" w14:textId="77777777" w:rsidR="00B4510E" w:rsidRPr="007D0949" w:rsidRDefault="00B4510E" w:rsidP="00B4510E">
          <w:pPr>
            <w:spacing w:before="100" w:beforeAutospacing="1" w:after="119"/>
            <w:rPr>
              <w:sz w:val="24"/>
              <w:szCs w:val="24"/>
            </w:rPr>
          </w:pPr>
          <w:r w:rsidRPr="007D0949">
            <w:rPr>
              <w:rFonts w:ascii="Arial" w:hAnsi="Arial" w:cs="Arial"/>
              <w:sz w:val="16"/>
              <w:szCs w:val="16"/>
            </w:rPr>
            <w:t>DS: f5jb3yv</w:t>
          </w:r>
        </w:p>
      </w:tc>
    </w:tr>
    <w:tr w:rsidR="00B4510E" w:rsidRPr="007D0949" w14:paraId="1F100A23" w14:textId="77777777" w:rsidTr="007C0D2B">
      <w:trPr>
        <w:tblCellSpacing w:w="0" w:type="dxa"/>
      </w:trPr>
      <w:tc>
        <w:tcPr>
          <w:tcW w:w="1250" w:type="pct"/>
          <w:tcBorders>
            <w:top w:val="nil"/>
            <w:left w:val="nil"/>
            <w:bottom w:val="nil"/>
            <w:right w:val="nil"/>
          </w:tcBorders>
          <w:hideMark/>
        </w:tcPr>
        <w:p w14:paraId="1443A00C" w14:textId="77777777" w:rsidR="00B4510E" w:rsidRPr="007D0949" w:rsidRDefault="00B4510E" w:rsidP="00B4510E">
          <w:pPr>
            <w:spacing w:before="100" w:beforeAutospacing="1" w:after="119"/>
            <w:rPr>
              <w:sz w:val="24"/>
              <w:szCs w:val="24"/>
            </w:rPr>
          </w:pPr>
          <w:r>
            <w:rPr>
              <w:rFonts w:ascii="Arial" w:hAnsi="Arial" w:cs="Arial"/>
              <w:sz w:val="16"/>
              <w:szCs w:val="16"/>
            </w:rPr>
            <w:t>Mobil: 725 031 368</w:t>
          </w:r>
        </w:p>
      </w:tc>
      <w:tc>
        <w:tcPr>
          <w:tcW w:w="1485" w:type="pct"/>
          <w:tcBorders>
            <w:top w:val="nil"/>
            <w:left w:val="nil"/>
            <w:bottom w:val="nil"/>
            <w:right w:val="nil"/>
          </w:tcBorders>
          <w:hideMark/>
        </w:tcPr>
        <w:p w14:paraId="015FAD1A" w14:textId="77777777" w:rsidR="00B4510E" w:rsidRPr="007D0949" w:rsidRDefault="00B4510E" w:rsidP="00B4510E">
          <w:pPr>
            <w:spacing w:before="100" w:beforeAutospacing="1" w:after="119"/>
            <w:rPr>
              <w:sz w:val="24"/>
              <w:szCs w:val="24"/>
            </w:rPr>
          </w:pPr>
          <w:r w:rsidRPr="007D0949">
            <w:rPr>
              <w:rFonts w:ascii="Arial" w:hAnsi="Arial" w:cs="Arial"/>
              <w:sz w:val="16"/>
              <w:szCs w:val="16"/>
            </w:rPr>
            <w:t>Bankovní spojení: KB Vodňany</w:t>
          </w:r>
        </w:p>
      </w:tc>
      <w:tc>
        <w:tcPr>
          <w:tcW w:w="1485" w:type="pct"/>
          <w:tcBorders>
            <w:top w:val="nil"/>
            <w:left w:val="nil"/>
            <w:bottom w:val="nil"/>
            <w:right w:val="nil"/>
          </w:tcBorders>
          <w:hideMark/>
        </w:tcPr>
        <w:p w14:paraId="4E806F86" w14:textId="77777777" w:rsidR="00B4510E" w:rsidRPr="007D0949" w:rsidRDefault="00B4510E" w:rsidP="00B4510E">
          <w:pPr>
            <w:spacing w:before="100" w:beforeAutospacing="1" w:after="119"/>
            <w:rPr>
              <w:sz w:val="24"/>
              <w:szCs w:val="24"/>
            </w:rPr>
          </w:pPr>
          <w:proofErr w:type="spellStart"/>
          <w:r w:rsidRPr="007D0949">
            <w:rPr>
              <w:rFonts w:ascii="Arial" w:hAnsi="Arial" w:cs="Arial"/>
              <w:sz w:val="16"/>
              <w:szCs w:val="16"/>
            </w:rPr>
            <w:t>č.ú</w:t>
          </w:r>
          <w:proofErr w:type="spellEnd"/>
          <w:r w:rsidRPr="007D0949">
            <w:rPr>
              <w:rFonts w:ascii="Arial" w:hAnsi="Arial" w:cs="Arial"/>
              <w:sz w:val="16"/>
              <w:szCs w:val="16"/>
            </w:rPr>
            <w:t>.: 25927291/0100</w:t>
          </w:r>
        </w:p>
      </w:tc>
      <w:tc>
        <w:tcPr>
          <w:tcW w:w="780" w:type="pct"/>
          <w:tcBorders>
            <w:top w:val="nil"/>
            <w:left w:val="nil"/>
            <w:bottom w:val="nil"/>
            <w:right w:val="nil"/>
          </w:tcBorders>
          <w:hideMark/>
        </w:tcPr>
        <w:p w14:paraId="3043408C" w14:textId="77777777" w:rsidR="00B4510E" w:rsidRPr="007D0949" w:rsidRDefault="00B4510E" w:rsidP="00B4510E">
          <w:pPr>
            <w:spacing w:before="100" w:beforeAutospacing="1" w:after="119"/>
            <w:rPr>
              <w:sz w:val="24"/>
              <w:szCs w:val="24"/>
            </w:rPr>
          </w:pPr>
          <w:r w:rsidRPr="007D0949">
            <w:rPr>
              <w:rFonts w:ascii="Arial" w:hAnsi="Arial" w:cs="Arial"/>
              <w:sz w:val="16"/>
              <w:szCs w:val="16"/>
            </w:rPr>
            <w:t>IČO: 00667641</w:t>
          </w:r>
        </w:p>
      </w:tc>
    </w:tr>
  </w:tbl>
  <w:p w14:paraId="7D514624" w14:textId="77777777" w:rsidR="00B4510E" w:rsidRPr="00B4510E" w:rsidRDefault="00B4510E" w:rsidP="00B45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1DD1" w14:textId="77777777" w:rsidR="00FE0F3C" w:rsidRDefault="00FE0F3C" w:rsidP="00D45510">
      <w:pPr>
        <w:spacing w:after="0" w:line="240" w:lineRule="auto"/>
      </w:pPr>
      <w:r>
        <w:separator/>
      </w:r>
    </w:p>
  </w:footnote>
  <w:footnote w:type="continuationSeparator" w:id="0">
    <w:p w14:paraId="5C28BB36" w14:textId="77777777" w:rsidR="00FE0F3C" w:rsidRDefault="00FE0F3C" w:rsidP="00D45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138"/>
    <w:multiLevelType w:val="hybridMultilevel"/>
    <w:tmpl w:val="7BD64C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90629"/>
    <w:multiLevelType w:val="hybridMultilevel"/>
    <w:tmpl w:val="CFDA7FC6"/>
    <w:lvl w:ilvl="0" w:tplc="ED567E1E">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C46DAE"/>
    <w:multiLevelType w:val="hybridMultilevel"/>
    <w:tmpl w:val="E1E6E580"/>
    <w:lvl w:ilvl="0" w:tplc="EC2E2E06">
      <w:start w:val="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841D4D"/>
    <w:multiLevelType w:val="hybridMultilevel"/>
    <w:tmpl w:val="9E8ABB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91143"/>
    <w:multiLevelType w:val="hybridMultilevel"/>
    <w:tmpl w:val="E1365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75CE1"/>
    <w:multiLevelType w:val="hybridMultilevel"/>
    <w:tmpl w:val="D494DA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C372A"/>
    <w:multiLevelType w:val="multilevel"/>
    <w:tmpl w:val="84D8BEC6"/>
    <w:lvl w:ilvl="0">
      <w:start w:val="4"/>
      <w:numFmt w:val="decimal"/>
      <w:lvlText w:val="(%1)"/>
      <w:lvlJc w:val="left"/>
      <w:pPr>
        <w:tabs>
          <w:tab w:val="num" w:pos="567"/>
        </w:tabs>
        <w:ind w:left="567" w:hanging="567"/>
      </w:pPr>
      <w:rPr>
        <w:rFonts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820DD7"/>
    <w:multiLevelType w:val="hybridMultilevel"/>
    <w:tmpl w:val="D0083C36"/>
    <w:lvl w:ilvl="0" w:tplc="A426CC00">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4BC92F65"/>
    <w:multiLevelType w:val="hybridMultilevel"/>
    <w:tmpl w:val="EC32EA20"/>
    <w:lvl w:ilvl="0" w:tplc="640EE850">
      <w:start w:val="1"/>
      <w:numFmt w:val="bullet"/>
      <w:lvlText w:val=""/>
      <w:lvlJc w:val="left"/>
      <w:pPr>
        <w:ind w:left="1211" w:hanging="360"/>
      </w:pPr>
      <w:rPr>
        <w:rFonts w:ascii="Symbol" w:eastAsiaTheme="minorHAnsi" w:hAnsi="Symbol" w:cstheme="minorBidi" w:hint="default"/>
        <w:sz w:val="22"/>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540626C7"/>
    <w:multiLevelType w:val="hybridMultilevel"/>
    <w:tmpl w:val="D0BA0E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ED12F7"/>
    <w:multiLevelType w:val="multilevel"/>
    <w:tmpl w:val="3F9A6BFA"/>
    <w:lvl w:ilvl="0">
      <w:start w:val="1"/>
      <w:numFmt w:val="decimal"/>
      <w:lvlText w:val="(%1)"/>
      <w:lvlJc w:val="left"/>
      <w:pPr>
        <w:tabs>
          <w:tab w:val="num" w:pos="567"/>
        </w:tabs>
        <w:ind w:left="567" w:hanging="567"/>
      </w:pPr>
      <w:rPr>
        <w:rFonts w:hint="default"/>
        <w:b w:val="0"/>
        <w:i w:val="0"/>
        <w:strike w:val="0"/>
        <w:dstrike w:val="0"/>
        <w:outline w:val="0"/>
        <w:shadow w:val="0"/>
        <w:emboss w:val="0"/>
        <w:imprint w:val="0"/>
        <w:u w:val="none"/>
        <w:effect w:val="none"/>
        <w:vertAlign w:val="baseline"/>
      </w:rPr>
    </w:lvl>
    <w:lvl w:ilvl="1">
      <w:start w:val="3"/>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CA518C"/>
    <w:multiLevelType w:val="hybridMultilevel"/>
    <w:tmpl w:val="D5AE30E4"/>
    <w:lvl w:ilvl="0" w:tplc="1D769DB0">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8377813">
    <w:abstractNumId w:val="0"/>
  </w:num>
  <w:num w:numId="2" w16cid:durableId="557715791">
    <w:abstractNumId w:val="5"/>
  </w:num>
  <w:num w:numId="3" w16cid:durableId="253906536">
    <w:abstractNumId w:val="3"/>
  </w:num>
  <w:num w:numId="4" w16cid:durableId="905996343">
    <w:abstractNumId w:val="11"/>
  </w:num>
  <w:num w:numId="5" w16cid:durableId="1239444380">
    <w:abstractNumId w:val="2"/>
  </w:num>
  <w:num w:numId="6" w16cid:durableId="40714900">
    <w:abstractNumId w:val="4"/>
  </w:num>
  <w:num w:numId="7" w16cid:durableId="1451435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228097">
    <w:abstractNumId w:val="12"/>
  </w:num>
  <w:num w:numId="9" w16cid:durableId="1103919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026395">
    <w:abstractNumId w:val="6"/>
  </w:num>
  <w:num w:numId="11" w16cid:durableId="1510873325">
    <w:abstractNumId w:val="13"/>
  </w:num>
  <w:num w:numId="12" w16cid:durableId="791442435">
    <w:abstractNumId w:val="10"/>
  </w:num>
  <w:num w:numId="13" w16cid:durableId="1973903928">
    <w:abstractNumId w:val="7"/>
  </w:num>
  <w:num w:numId="14" w16cid:durableId="282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1958"/>
    <w:rsid w:val="00016916"/>
    <w:rsid w:val="000540CE"/>
    <w:rsid w:val="00094BD0"/>
    <w:rsid w:val="000B51A6"/>
    <w:rsid w:val="000C1958"/>
    <w:rsid w:val="000C6648"/>
    <w:rsid w:val="000D5145"/>
    <w:rsid w:val="00105DCF"/>
    <w:rsid w:val="00107094"/>
    <w:rsid w:val="00111F77"/>
    <w:rsid w:val="00112929"/>
    <w:rsid w:val="0011488A"/>
    <w:rsid w:val="001517B9"/>
    <w:rsid w:val="00183764"/>
    <w:rsid w:val="00183F21"/>
    <w:rsid w:val="001B6FDD"/>
    <w:rsid w:val="00203883"/>
    <w:rsid w:val="00225E09"/>
    <w:rsid w:val="00250FD9"/>
    <w:rsid w:val="00295A2E"/>
    <w:rsid w:val="0037687C"/>
    <w:rsid w:val="003848CD"/>
    <w:rsid w:val="003A6C4C"/>
    <w:rsid w:val="003C2C93"/>
    <w:rsid w:val="00481C4B"/>
    <w:rsid w:val="004C4E88"/>
    <w:rsid w:val="004E03C0"/>
    <w:rsid w:val="00533670"/>
    <w:rsid w:val="00535490"/>
    <w:rsid w:val="00542C93"/>
    <w:rsid w:val="005601CE"/>
    <w:rsid w:val="00597372"/>
    <w:rsid w:val="005C6FEF"/>
    <w:rsid w:val="005F502F"/>
    <w:rsid w:val="00610257"/>
    <w:rsid w:val="006569CD"/>
    <w:rsid w:val="006A4C80"/>
    <w:rsid w:val="006A5018"/>
    <w:rsid w:val="006E40FE"/>
    <w:rsid w:val="00700A95"/>
    <w:rsid w:val="007F36CE"/>
    <w:rsid w:val="008256F9"/>
    <w:rsid w:val="00870D75"/>
    <w:rsid w:val="008B4A6A"/>
    <w:rsid w:val="00975969"/>
    <w:rsid w:val="00981CD8"/>
    <w:rsid w:val="009B2091"/>
    <w:rsid w:val="009D055A"/>
    <w:rsid w:val="00AA0B8E"/>
    <w:rsid w:val="00AA2C2D"/>
    <w:rsid w:val="00AC0ACD"/>
    <w:rsid w:val="00AC7360"/>
    <w:rsid w:val="00AD0B55"/>
    <w:rsid w:val="00B21032"/>
    <w:rsid w:val="00B277AF"/>
    <w:rsid w:val="00B4510E"/>
    <w:rsid w:val="00B57AF1"/>
    <w:rsid w:val="00BA6B35"/>
    <w:rsid w:val="00BE7DF6"/>
    <w:rsid w:val="00BF6AC2"/>
    <w:rsid w:val="00C26081"/>
    <w:rsid w:val="00C7125D"/>
    <w:rsid w:val="00CA7652"/>
    <w:rsid w:val="00CB4473"/>
    <w:rsid w:val="00CC529A"/>
    <w:rsid w:val="00D45510"/>
    <w:rsid w:val="00E9738A"/>
    <w:rsid w:val="00EE0C84"/>
    <w:rsid w:val="00F14F9A"/>
    <w:rsid w:val="00FA7B1E"/>
    <w:rsid w:val="00FE0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AB041"/>
  <w15:docId w15:val="{25D1E29B-E812-4DAE-A677-FCB9001A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FEF"/>
  </w:style>
  <w:style w:type="paragraph" w:styleId="Nadpis3">
    <w:name w:val="heading 3"/>
    <w:basedOn w:val="Normln"/>
    <w:link w:val="Nadpis3Char"/>
    <w:uiPriority w:val="9"/>
    <w:qFormat/>
    <w:rsid w:val="000D514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C1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1958"/>
    <w:rPr>
      <w:rFonts w:ascii="Tahoma" w:hAnsi="Tahoma" w:cs="Tahoma"/>
      <w:sz w:val="16"/>
      <w:szCs w:val="16"/>
    </w:rPr>
  </w:style>
  <w:style w:type="paragraph" w:styleId="Odstavecseseznamem">
    <w:name w:val="List Paragraph"/>
    <w:basedOn w:val="Normln"/>
    <w:uiPriority w:val="34"/>
    <w:qFormat/>
    <w:rsid w:val="004C4E88"/>
    <w:pPr>
      <w:ind w:left="720"/>
      <w:contextualSpacing/>
    </w:pPr>
  </w:style>
  <w:style w:type="paragraph" w:styleId="Textpoznpodarou">
    <w:name w:val="footnote text"/>
    <w:basedOn w:val="Normln"/>
    <w:link w:val="TextpoznpodarouChar"/>
    <w:semiHidden/>
    <w:unhideWhenUsed/>
    <w:rsid w:val="00D4551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D45510"/>
    <w:rPr>
      <w:rFonts w:ascii="Times New Roman" w:eastAsia="Times New Roman" w:hAnsi="Times New Roman" w:cs="Times New Roman"/>
      <w:noProof/>
      <w:sz w:val="20"/>
      <w:szCs w:val="20"/>
      <w:lang w:eastAsia="cs-CZ"/>
    </w:rPr>
  </w:style>
  <w:style w:type="paragraph" w:customStyle="1" w:styleId="slalnk">
    <w:name w:val="Čísla článků"/>
    <w:basedOn w:val="Normln"/>
    <w:rsid w:val="00D45510"/>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D45510"/>
    <w:pPr>
      <w:spacing w:before="60" w:after="160"/>
    </w:pPr>
  </w:style>
  <w:style w:type="character" w:styleId="Znakapoznpodarou">
    <w:name w:val="footnote reference"/>
    <w:semiHidden/>
    <w:unhideWhenUsed/>
    <w:rsid w:val="00D45510"/>
    <w:rPr>
      <w:vertAlign w:val="superscript"/>
    </w:rPr>
  </w:style>
  <w:style w:type="character" w:customStyle="1" w:styleId="Nadpis3Char">
    <w:name w:val="Nadpis 3 Char"/>
    <w:basedOn w:val="Standardnpsmoodstavce"/>
    <w:link w:val="Nadpis3"/>
    <w:uiPriority w:val="9"/>
    <w:rsid w:val="000D5145"/>
    <w:rPr>
      <w:rFonts w:ascii="Times New Roman" w:eastAsia="Times New Roman" w:hAnsi="Times New Roman" w:cs="Times New Roman"/>
      <w:b/>
      <w:bCs/>
      <w:sz w:val="27"/>
      <w:szCs w:val="27"/>
      <w:lang w:eastAsia="cs-CZ"/>
    </w:rPr>
  </w:style>
  <w:style w:type="paragraph" w:customStyle="1" w:styleId="l5">
    <w:name w:val="l5"/>
    <w:basedOn w:val="Normln"/>
    <w:rsid w:val="000D514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0D514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D5145"/>
    <w:rPr>
      <w:i/>
      <w:iCs/>
    </w:rPr>
  </w:style>
  <w:style w:type="paragraph" w:styleId="Zhlav">
    <w:name w:val="header"/>
    <w:basedOn w:val="Normln"/>
    <w:link w:val="ZhlavChar"/>
    <w:uiPriority w:val="99"/>
    <w:unhideWhenUsed/>
    <w:rsid w:val="00B451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510E"/>
  </w:style>
  <w:style w:type="paragraph" w:styleId="Zpat">
    <w:name w:val="footer"/>
    <w:basedOn w:val="Normln"/>
    <w:link w:val="ZpatChar"/>
    <w:uiPriority w:val="99"/>
    <w:unhideWhenUsed/>
    <w:rsid w:val="00B4510E"/>
    <w:pPr>
      <w:tabs>
        <w:tab w:val="center" w:pos="4536"/>
        <w:tab w:val="right" w:pos="9072"/>
      </w:tabs>
      <w:spacing w:after="0" w:line="240" w:lineRule="auto"/>
    </w:pPr>
  </w:style>
  <w:style w:type="character" w:customStyle="1" w:styleId="ZpatChar">
    <w:name w:val="Zápatí Char"/>
    <w:basedOn w:val="Standardnpsmoodstavce"/>
    <w:link w:val="Zpat"/>
    <w:uiPriority w:val="99"/>
    <w:rsid w:val="00B4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64679">
      <w:bodyDiv w:val="1"/>
      <w:marLeft w:val="0"/>
      <w:marRight w:val="0"/>
      <w:marTop w:val="0"/>
      <w:marBottom w:val="0"/>
      <w:divBdr>
        <w:top w:val="none" w:sz="0" w:space="0" w:color="auto"/>
        <w:left w:val="none" w:sz="0" w:space="0" w:color="auto"/>
        <w:bottom w:val="none" w:sz="0" w:space="0" w:color="auto"/>
        <w:right w:val="none" w:sz="0" w:space="0" w:color="auto"/>
      </w:divBdr>
    </w:div>
    <w:div w:id="14713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1132</Words>
  <Characters>6685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Zuzana Svatá</cp:lastModifiedBy>
  <cp:revision>16</cp:revision>
  <cp:lastPrinted>2022-10-13T07:36:00Z</cp:lastPrinted>
  <dcterms:created xsi:type="dcterms:W3CDTF">2019-11-12T09:56:00Z</dcterms:created>
  <dcterms:modified xsi:type="dcterms:W3CDTF">2025-03-25T11:13:00Z</dcterms:modified>
</cp:coreProperties>
</file>